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74BA" w:rsidRDefault="007074BA" w:rsidP="007074BA">
      <w:pPr>
        <w:jc w:val="center"/>
        <w:rPr>
          <w:rFonts w:ascii="Times New Roman" w:hAnsi="Times New Roman" w:cs="Times New Roman"/>
          <w:b/>
          <w:sz w:val="40"/>
          <w:szCs w:val="40"/>
        </w:rPr>
      </w:pPr>
      <w:r w:rsidRPr="007074BA">
        <w:rPr>
          <w:rFonts w:ascii="Times New Roman" w:hAnsi="Times New Roman" w:cs="Times New Roman"/>
          <w:b/>
          <w:sz w:val="40"/>
          <w:szCs w:val="40"/>
        </w:rPr>
        <w:t xml:space="preserve">La protección del patrimonio </w:t>
      </w:r>
    </w:p>
    <w:p w:rsidR="007074BA" w:rsidRPr="007074BA" w:rsidRDefault="00D00DD0" w:rsidP="007074BA">
      <w:pPr>
        <w:jc w:val="center"/>
        <w:rPr>
          <w:rFonts w:ascii="Times New Roman" w:hAnsi="Times New Roman" w:cs="Times New Roman"/>
          <w:b/>
          <w:sz w:val="40"/>
          <w:szCs w:val="40"/>
        </w:rPr>
      </w:pPr>
      <w:proofErr w:type="gramStart"/>
      <w:r>
        <w:rPr>
          <w:rFonts w:ascii="Times New Roman" w:hAnsi="Times New Roman" w:cs="Times New Roman"/>
          <w:b/>
          <w:sz w:val="40"/>
          <w:szCs w:val="40"/>
        </w:rPr>
        <w:t>c</w:t>
      </w:r>
      <w:r w:rsidR="007074BA" w:rsidRPr="007074BA">
        <w:rPr>
          <w:rFonts w:ascii="Times New Roman" w:hAnsi="Times New Roman" w:cs="Times New Roman"/>
          <w:b/>
          <w:sz w:val="40"/>
          <w:szCs w:val="40"/>
        </w:rPr>
        <w:t>ultural</w:t>
      </w:r>
      <w:proofErr w:type="gramEnd"/>
      <w:r w:rsidR="007074BA" w:rsidRPr="007074BA">
        <w:rPr>
          <w:rFonts w:ascii="Times New Roman" w:hAnsi="Times New Roman" w:cs="Times New Roman"/>
          <w:b/>
          <w:sz w:val="40"/>
          <w:szCs w:val="40"/>
        </w:rPr>
        <w:t xml:space="preserve"> de la humanidad</w:t>
      </w:r>
    </w:p>
    <w:p w:rsidR="007074BA" w:rsidRPr="00D00DD0" w:rsidRDefault="007074BA" w:rsidP="007074BA">
      <w:pPr>
        <w:jc w:val="center"/>
        <w:rPr>
          <w:rFonts w:ascii="Times New Roman" w:hAnsi="Times New Roman" w:cs="Times New Roman"/>
          <w:sz w:val="32"/>
          <w:szCs w:val="32"/>
        </w:rPr>
      </w:pPr>
      <w:r w:rsidRPr="00D00DD0">
        <w:rPr>
          <w:rFonts w:ascii="Times New Roman" w:hAnsi="Times New Roman" w:cs="Times New Roman"/>
          <w:sz w:val="32"/>
          <w:szCs w:val="32"/>
        </w:rPr>
        <w:t>Lugares y monumentos.</w:t>
      </w: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F115E0" w:rsidRDefault="00F115E0"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B611C1" w:rsidRDefault="00B611C1" w:rsidP="007074BA">
      <w:pPr>
        <w:jc w:val="center"/>
        <w:rPr>
          <w:rFonts w:ascii="Times New Roman" w:hAnsi="Times New Roman" w:cs="Times New Roman"/>
          <w:b/>
          <w:sz w:val="32"/>
          <w:szCs w:val="32"/>
        </w:rPr>
      </w:pPr>
    </w:p>
    <w:p w:rsidR="00F115E0" w:rsidRPr="00F115E0" w:rsidRDefault="00F115E0" w:rsidP="007074BA">
      <w:pPr>
        <w:jc w:val="center"/>
        <w:rPr>
          <w:rFonts w:ascii="Times New Roman" w:hAnsi="Times New Roman" w:cs="Times New Roman"/>
          <w:sz w:val="32"/>
          <w:szCs w:val="32"/>
        </w:rPr>
      </w:pPr>
      <w:r w:rsidRPr="00F115E0">
        <w:rPr>
          <w:rFonts w:ascii="Times New Roman" w:hAnsi="Times New Roman" w:cs="Times New Roman"/>
          <w:sz w:val="32"/>
          <w:szCs w:val="32"/>
        </w:rPr>
        <w:t>Extractado del Manual de la</w:t>
      </w:r>
    </w:p>
    <w:p w:rsidR="00B1408D" w:rsidRDefault="007074BA" w:rsidP="007074BA">
      <w:pPr>
        <w:jc w:val="center"/>
        <w:rPr>
          <w:rFonts w:ascii="Times New Roman" w:hAnsi="Times New Roman" w:cs="Times New Roman"/>
          <w:b/>
          <w:sz w:val="32"/>
          <w:szCs w:val="32"/>
        </w:rPr>
      </w:pPr>
      <w:r w:rsidRPr="007074BA">
        <w:rPr>
          <w:rFonts w:ascii="Times New Roman" w:hAnsi="Times New Roman" w:cs="Times New Roman"/>
          <w:b/>
          <w:sz w:val="32"/>
          <w:szCs w:val="32"/>
        </w:rPr>
        <w:t>Unesco</w:t>
      </w:r>
    </w:p>
    <w:p w:rsidR="00B611C1" w:rsidRDefault="00B611C1" w:rsidP="00B611C1">
      <w:pPr>
        <w:jc w:val="both"/>
        <w:rPr>
          <w:rFonts w:ascii="Times New Roman" w:hAnsi="Times New Roman" w:cs="Times New Roman"/>
          <w:sz w:val="32"/>
          <w:szCs w:val="32"/>
        </w:rPr>
      </w:pPr>
    </w:p>
    <w:p w:rsidR="00B611C1" w:rsidRDefault="00B611C1" w:rsidP="00B611C1">
      <w:pPr>
        <w:jc w:val="both"/>
        <w:rPr>
          <w:rFonts w:ascii="Times New Roman" w:hAnsi="Times New Roman" w:cs="Times New Roman"/>
          <w:sz w:val="32"/>
          <w:szCs w:val="32"/>
        </w:rPr>
      </w:pPr>
    </w:p>
    <w:p w:rsidR="00B611C1" w:rsidRPr="00B611C1" w:rsidRDefault="00B611C1" w:rsidP="00B611C1">
      <w:pPr>
        <w:jc w:val="center"/>
        <w:rPr>
          <w:rFonts w:ascii="Times New Roman" w:hAnsi="Times New Roman" w:cs="Times New Roman"/>
          <w:b/>
          <w:sz w:val="28"/>
          <w:szCs w:val="28"/>
        </w:rPr>
      </w:pPr>
      <w:r>
        <w:rPr>
          <w:rFonts w:ascii="Times New Roman" w:hAnsi="Times New Roman" w:cs="Times New Roman"/>
          <w:b/>
          <w:sz w:val="28"/>
          <w:szCs w:val="28"/>
        </w:rPr>
        <w:lastRenderedPageBreak/>
        <w:t>La protecció</w:t>
      </w:r>
      <w:r w:rsidRPr="00B611C1">
        <w:rPr>
          <w:rFonts w:ascii="Times New Roman" w:hAnsi="Times New Roman" w:cs="Times New Roman"/>
          <w:b/>
          <w:sz w:val="28"/>
          <w:szCs w:val="28"/>
        </w:rPr>
        <w:t>n jurídica</w:t>
      </w:r>
    </w:p>
    <w:p w:rsidR="00B611C1" w:rsidRPr="004E67CD" w:rsidRDefault="00B611C1" w:rsidP="00B611C1">
      <w:pPr>
        <w:jc w:val="both"/>
        <w:rPr>
          <w:rFonts w:ascii="Times New Roman" w:hAnsi="Times New Roman" w:cs="Times New Roman"/>
          <w:sz w:val="24"/>
          <w:szCs w:val="24"/>
        </w:rPr>
      </w:pPr>
      <w:r w:rsidRPr="004E67CD">
        <w:rPr>
          <w:rFonts w:ascii="Times New Roman" w:hAnsi="Times New Roman" w:cs="Times New Roman"/>
          <w:sz w:val="24"/>
          <w:szCs w:val="24"/>
        </w:rPr>
        <w:t>El régimen jurídico que la Unesco se propone instituir para la protección de los bienes culturales se funda en dos categorías de instrumentos internacionales:</w:t>
      </w:r>
      <w:r w:rsidRPr="004E67CD">
        <w:rPr>
          <w:rFonts w:ascii="Times New Roman" w:hAnsi="Times New Roman" w:cs="Times New Roman"/>
          <w:sz w:val="24"/>
          <w:szCs w:val="24"/>
        </w:rPr>
        <w:t xml:space="preserve"> los convenios y las recomenda</w:t>
      </w:r>
      <w:r w:rsidRPr="004E67CD">
        <w:rPr>
          <w:rFonts w:ascii="Times New Roman" w:hAnsi="Times New Roman" w:cs="Times New Roman"/>
          <w:sz w:val="24"/>
          <w:szCs w:val="24"/>
        </w:rPr>
        <w:t>ciones. Los convenios implican, por parte de los Estados que se han adherido a ellos o los han ratificado, el compromiso de respetar sus disposiciones. Las recomendaciones, adoptadas por la Conferencia General de la Unesco, no tienen ese carácter obligatorio y son únicamente una</w:t>
      </w:r>
      <w:r w:rsidR="004E67CD">
        <w:rPr>
          <w:rFonts w:ascii="Times New Roman" w:hAnsi="Times New Roman" w:cs="Times New Roman"/>
          <w:sz w:val="24"/>
          <w:szCs w:val="24"/>
        </w:rPr>
        <w:t xml:space="preserve"> invitación a los Estados Miem</w:t>
      </w:r>
      <w:r w:rsidRPr="004E67CD">
        <w:rPr>
          <w:rFonts w:ascii="Times New Roman" w:hAnsi="Times New Roman" w:cs="Times New Roman"/>
          <w:sz w:val="24"/>
          <w:szCs w:val="24"/>
        </w:rPr>
        <w:t xml:space="preserve">bros para que tomen las medidas necesarias encaminadas a darles cumplimiento dentro del marco de cada legislación nacional. </w:t>
      </w:r>
    </w:p>
    <w:p w:rsidR="00B611C1" w:rsidRPr="004E67CD" w:rsidRDefault="00B611C1" w:rsidP="00B611C1">
      <w:pPr>
        <w:jc w:val="both"/>
        <w:rPr>
          <w:rFonts w:ascii="Times New Roman" w:hAnsi="Times New Roman" w:cs="Times New Roman"/>
          <w:sz w:val="24"/>
          <w:szCs w:val="24"/>
        </w:rPr>
      </w:pPr>
      <w:r w:rsidRPr="004E67CD">
        <w:rPr>
          <w:rFonts w:ascii="Times New Roman" w:hAnsi="Times New Roman" w:cs="Times New Roman"/>
          <w:sz w:val="24"/>
          <w:szCs w:val="24"/>
        </w:rPr>
        <w:t>La Unesco propugnó en 1954 la Convención internacional relativa a la protección de los bienes culturales en caso de conflicto armado. Otro convenio se encuentra actualmente en estudio, relativo a la exportación, importación y transferencia ilícitas de los bienes culturales, c</w:t>
      </w:r>
      <w:r w:rsidR="004E67CD">
        <w:rPr>
          <w:rFonts w:ascii="Times New Roman" w:hAnsi="Times New Roman" w:cs="Times New Roman"/>
          <w:sz w:val="24"/>
          <w:szCs w:val="24"/>
        </w:rPr>
        <w:t>uestión tratada ya en una reco</w:t>
      </w:r>
      <w:r w:rsidRPr="004E67CD">
        <w:rPr>
          <w:rFonts w:ascii="Times New Roman" w:hAnsi="Times New Roman" w:cs="Times New Roman"/>
          <w:sz w:val="24"/>
          <w:szCs w:val="24"/>
        </w:rPr>
        <w:t xml:space="preserve">mendación. </w:t>
      </w:r>
    </w:p>
    <w:p w:rsidR="00B611C1" w:rsidRDefault="00B611C1" w:rsidP="00B611C1">
      <w:pPr>
        <w:jc w:val="both"/>
        <w:rPr>
          <w:rFonts w:ascii="Times New Roman" w:hAnsi="Times New Roman" w:cs="Times New Roman"/>
          <w:sz w:val="24"/>
          <w:szCs w:val="24"/>
        </w:rPr>
      </w:pPr>
      <w:r w:rsidRPr="004E67CD">
        <w:rPr>
          <w:rFonts w:ascii="Times New Roman" w:hAnsi="Times New Roman" w:cs="Times New Roman"/>
          <w:sz w:val="24"/>
          <w:szCs w:val="24"/>
        </w:rPr>
        <w:t>Son cuatro las recomendaciones referentes al patrimonio monumental y corresponden a: los principios internacionales aplicables a las excavaciones arqueológicas (1956); la protección del carácter y de la belleza del paisaje y de los lugares de interés artístico e histórico (1</w:t>
      </w:r>
      <w:r w:rsidR="00E23FF4">
        <w:rPr>
          <w:rFonts w:ascii="Times New Roman" w:hAnsi="Times New Roman" w:cs="Times New Roman"/>
          <w:sz w:val="24"/>
          <w:szCs w:val="24"/>
        </w:rPr>
        <w:t>962)</w:t>
      </w:r>
      <w:r w:rsidRPr="004E67CD">
        <w:rPr>
          <w:rFonts w:ascii="Times New Roman" w:hAnsi="Times New Roman" w:cs="Times New Roman"/>
          <w:sz w:val="24"/>
          <w:szCs w:val="24"/>
        </w:rPr>
        <w:t xml:space="preserve">; las medidas encaminadas a prohibir e impedir la exportación, importación y transferencia ilícitas </w:t>
      </w:r>
      <w:r w:rsidR="00E23FF4">
        <w:rPr>
          <w:rFonts w:ascii="Times New Roman" w:hAnsi="Times New Roman" w:cs="Times New Roman"/>
          <w:sz w:val="24"/>
          <w:szCs w:val="24"/>
        </w:rPr>
        <w:t>de los bienes culturales (1964)</w:t>
      </w:r>
      <w:r w:rsidRPr="004E67CD">
        <w:rPr>
          <w:rFonts w:ascii="Times New Roman" w:hAnsi="Times New Roman" w:cs="Times New Roman"/>
          <w:sz w:val="24"/>
          <w:szCs w:val="24"/>
        </w:rPr>
        <w:t>; la co</w:t>
      </w:r>
      <w:r w:rsidR="004E67CD">
        <w:rPr>
          <w:rFonts w:ascii="Times New Roman" w:hAnsi="Times New Roman" w:cs="Times New Roman"/>
          <w:sz w:val="24"/>
          <w:szCs w:val="24"/>
        </w:rPr>
        <w:t>nservación de los bienes cultu</w:t>
      </w:r>
      <w:r w:rsidRPr="004E67CD">
        <w:rPr>
          <w:rFonts w:ascii="Times New Roman" w:hAnsi="Times New Roman" w:cs="Times New Roman"/>
          <w:sz w:val="24"/>
          <w:szCs w:val="24"/>
        </w:rPr>
        <w:t>rales que la ejecución de obras públicas o privadas pueda poner en peligro (1968).</w:t>
      </w:r>
    </w:p>
    <w:p w:rsidR="009462E7" w:rsidRPr="009462E7" w:rsidRDefault="009462E7" w:rsidP="009462E7">
      <w:pPr>
        <w:jc w:val="both"/>
        <w:rPr>
          <w:rFonts w:ascii="Times New Roman" w:hAnsi="Times New Roman" w:cs="Times New Roman"/>
          <w:sz w:val="24"/>
          <w:szCs w:val="24"/>
        </w:rPr>
      </w:pPr>
      <w:r w:rsidRPr="009462E7">
        <w:rPr>
          <w:rFonts w:ascii="Times New Roman" w:hAnsi="Times New Roman" w:cs="Times New Roman"/>
          <w:sz w:val="24"/>
          <w:szCs w:val="24"/>
        </w:rPr>
        <w:t xml:space="preserve">La Convención internacional relativa a la protección de los bienes culturales en caso de conflicto armado. </w:t>
      </w:r>
    </w:p>
    <w:p w:rsidR="00C734CB" w:rsidRDefault="009462E7" w:rsidP="009462E7">
      <w:pPr>
        <w:jc w:val="both"/>
        <w:rPr>
          <w:rFonts w:ascii="Times New Roman" w:hAnsi="Times New Roman" w:cs="Times New Roman"/>
          <w:sz w:val="24"/>
          <w:szCs w:val="24"/>
        </w:rPr>
      </w:pPr>
      <w:r w:rsidRPr="009462E7">
        <w:rPr>
          <w:rFonts w:ascii="Times New Roman" w:hAnsi="Times New Roman" w:cs="Times New Roman"/>
          <w:sz w:val="24"/>
          <w:szCs w:val="24"/>
        </w:rPr>
        <w:t>Esta Convención fue adoptada el 14 de mayo de</w:t>
      </w:r>
      <w:r>
        <w:rPr>
          <w:rFonts w:ascii="Times New Roman" w:hAnsi="Times New Roman" w:cs="Times New Roman"/>
          <w:sz w:val="24"/>
          <w:szCs w:val="24"/>
        </w:rPr>
        <w:t xml:space="preserve"> 1954 por una Conferencia Inter g</w:t>
      </w:r>
      <w:r w:rsidRPr="009462E7">
        <w:rPr>
          <w:rFonts w:ascii="Times New Roman" w:hAnsi="Times New Roman" w:cs="Times New Roman"/>
          <w:sz w:val="24"/>
          <w:szCs w:val="24"/>
        </w:rPr>
        <w:t>ubernamental convocada por la Unesco en La Haya, previa invitación del gobi</w:t>
      </w:r>
      <w:r w:rsidR="00C734CB">
        <w:rPr>
          <w:rFonts w:ascii="Times New Roman" w:hAnsi="Times New Roman" w:cs="Times New Roman"/>
          <w:sz w:val="24"/>
          <w:szCs w:val="24"/>
        </w:rPr>
        <w:t>erno de los Países Bajos. En 1°</w:t>
      </w:r>
      <w:r w:rsidRPr="009462E7">
        <w:rPr>
          <w:rFonts w:ascii="Times New Roman" w:hAnsi="Times New Roman" w:cs="Times New Roman"/>
          <w:sz w:val="24"/>
          <w:szCs w:val="24"/>
        </w:rPr>
        <w:t xml:space="preserve"> de julio de 1969, habían ratificado la Convención o se hab</w:t>
      </w:r>
      <w:r>
        <w:rPr>
          <w:rFonts w:ascii="Times New Roman" w:hAnsi="Times New Roman" w:cs="Times New Roman"/>
          <w:sz w:val="24"/>
          <w:szCs w:val="24"/>
        </w:rPr>
        <w:t>ían adherido a ella 59 Estados</w:t>
      </w:r>
      <w:r w:rsidR="00387168">
        <w:rPr>
          <w:rStyle w:val="Refdenotaalpie"/>
          <w:rFonts w:ascii="Times New Roman" w:hAnsi="Times New Roman" w:cs="Times New Roman"/>
          <w:sz w:val="24"/>
          <w:szCs w:val="24"/>
        </w:rPr>
        <w:footnoteReference w:id="1"/>
      </w:r>
      <w:r w:rsidRPr="009462E7">
        <w:rPr>
          <w:rFonts w:ascii="Times New Roman" w:hAnsi="Times New Roman" w:cs="Times New Roman"/>
          <w:sz w:val="24"/>
          <w:szCs w:val="24"/>
        </w:rPr>
        <w:t xml:space="preserve"> </w:t>
      </w:r>
    </w:p>
    <w:p w:rsidR="00F016E2" w:rsidRDefault="009462E7" w:rsidP="00263931">
      <w:pPr>
        <w:jc w:val="both"/>
        <w:rPr>
          <w:rFonts w:ascii="Times New Roman" w:hAnsi="Times New Roman" w:cs="Times New Roman"/>
          <w:sz w:val="24"/>
          <w:szCs w:val="24"/>
        </w:rPr>
      </w:pPr>
      <w:r w:rsidRPr="00263931">
        <w:rPr>
          <w:rFonts w:ascii="Times New Roman" w:hAnsi="Times New Roman" w:cs="Times New Roman"/>
          <w:sz w:val="24"/>
          <w:szCs w:val="24"/>
        </w:rPr>
        <w:t xml:space="preserve">Los Estados contratantes se </w:t>
      </w:r>
      <w:r w:rsidRPr="00263931">
        <w:rPr>
          <w:rFonts w:ascii="Times New Roman" w:hAnsi="Times New Roman" w:cs="Times New Roman"/>
          <w:sz w:val="24"/>
          <w:szCs w:val="24"/>
        </w:rPr>
        <w:t>comprometen, según esta Conven</w:t>
      </w:r>
      <w:r w:rsidRPr="00263931">
        <w:rPr>
          <w:rFonts w:ascii="Times New Roman" w:hAnsi="Times New Roman" w:cs="Times New Roman"/>
          <w:sz w:val="24"/>
          <w:szCs w:val="24"/>
        </w:rPr>
        <w:t>ción, a respetar los bienes culturales situados tanto en su propio territorio como en el de otros E</w:t>
      </w:r>
      <w:r w:rsidRPr="00263931">
        <w:rPr>
          <w:rFonts w:ascii="Times New Roman" w:hAnsi="Times New Roman" w:cs="Times New Roman"/>
          <w:sz w:val="24"/>
          <w:szCs w:val="24"/>
        </w:rPr>
        <w:t>stados contratantes, abstenién</w:t>
      </w:r>
      <w:r w:rsidRPr="00263931">
        <w:rPr>
          <w:rFonts w:ascii="Times New Roman" w:hAnsi="Times New Roman" w:cs="Times New Roman"/>
          <w:sz w:val="24"/>
          <w:szCs w:val="24"/>
        </w:rPr>
        <w:t>dose de utilizar esos bienes para fines que pudieran exponerlos a su destrucción o deterioro en ca</w:t>
      </w:r>
      <w:r w:rsidR="00C734CB" w:rsidRPr="00263931">
        <w:rPr>
          <w:rFonts w:ascii="Times New Roman" w:hAnsi="Times New Roman" w:cs="Times New Roman"/>
          <w:sz w:val="24"/>
          <w:szCs w:val="24"/>
        </w:rPr>
        <w:t>so de conflicto armado y abste</w:t>
      </w:r>
      <w:r w:rsidRPr="00263931">
        <w:rPr>
          <w:rFonts w:ascii="Times New Roman" w:hAnsi="Times New Roman" w:cs="Times New Roman"/>
          <w:sz w:val="24"/>
          <w:szCs w:val="24"/>
        </w:rPr>
        <w:t xml:space="preserve">niéndose de todo acto de hostilidad respecto de tales bienes. Se comprometen a impedir todo acto de robo, saqueo, ocultación o apropiación de bienes culturales así como todo acto de vandalismo. Se comprometen también a no requisar los bienes culturales o ejercer represalias sobre los mismos. En caso de ocupación del territorio de un Estado contratante, los ocupantes deben cooperar con las autoridades nacionales competentes para asegurar la protección y conservación de los bienes culturales. </w:t>
      </w:r>
    </w:p>
    <w:p w:rsidR="00263931" w:rsidRPr="00263931" w:rsidRDefault="009462E7" w:rsidP="00263931">
      <w:pPr>
        <w:jc w:val="both"/>
        <w:rPr>
          <w:rFonts w:ascii="Times New Roman" w:hAnsi="Times New Roman" w:cs="Times New Roman"/>
          <w:sz w:val="24"/>
          <w:szCs w:val="24"/>
        </w:rPr>
      </w:pPr>
      <w:r w:rsidRPr="00263931">
        <w:rPr>
          <w:rFonts w:ascii="Times New Roman" w:hAnsi="Times New Roman" w:cs="Times New Roman"/>
          <w:sz w:val="24"/>
          <w:szCs w:val="24"/>
        </w:rPr>
        <w:lastRenderedPageBreak/>
        <w:t>El reglamento para la aplicación de la Convención encarga al Director General la preparación de una lista internacional de personalidades designadas por los Estados contratantes como aptas para ejercer las funciones de comisario general de bienes culturales. En caso de conflic</w:t>
      </w:r>
      <w:r w:rsidR="00C734CB" w:rsidRPr="00263931">
        <w:rPr>
          <w:rFonts w:ascii="Times New Roman" w:hAnsi="Times New Roman" w:cs="Times New Roman"/>
          <w:sz w:val="24"/>
          <w:szCs w:val="24"/>
        </w:rPr>
        <w:t>to armado, se nombrará un comi</w:t>
      </w:r>
      <w:r w:rsidRPr="00263931">
        <w:rPr>
          <w:rFonts w:ascii="Times New Roman" w:hAnsi="Times New Roman" w:cs="Times New Roman"/>
          <w:sz w:val="24"/>
          <w:szCs w:val="24"/>
        </w:rPr>
        <w:t>sario general, escogido entre los nombres de la lista, ante cada una de las Partes, con su acepta</w:t>
      </w:r>
      <w:r w:rsidR="00C734CB" w:rsidRPr="00263931">
        <w:rPr>
          <w:rFonts w:ascii="Times New Roman" w:hAnsi="Times New Roman" w:cs="Times New Roman"/>
          <w:sz w:val="24"/>
          <w:szCs w:val="24"/>
        </w:rPr>
        <w:t>ción y la de las potencias pro</w:t>
      </w:r>
      <w:r w:rsidRPr="00263931">
        <w:rPr>
          <w:rFonts w:ascii="Times New Roman" w:hAnsi="Times New Roman" w:cs="Times New Roman"/>
          <w:sz w:val="24"/>
          <w:szCs w:val="24"/>
        </w:rPr>
        <w:t xml:space="preserve">tectoras de los intereses de las Partes adversarias, encargado de velar por la aplicación de la Convención. Según este procedimiento, dos comisarios </w:t>
      </w:r>
      <w:r w:rsidR="00C734CB" w:rsidRPr="00263931">
        <w:rPr>
          <w:rFonts w:ascii="Times New Roman" w:hAnsi="Times New Roman" w:cs="Times New Roman"/>
          <w:sz w:val="24"/>
          <w:szCs w:val="24"/>
        </w:rPr>
        <w:t>genera</w:t>
      </w:r>
      <w:r w:rsidRPr="00263931">
        <w:rPr>
          <w:rFonts w:ascii="Times New Roman" w:hAnsi="Times New Roman" w:cs="Times New Roman"/>
          <w:sz w:val="24"/>
          <w:szCs w:val="24"/>
        </w:rPr>
        <w:t xml:space="preserve">les fueron acreditados, en 1967, ante Israel y los Estados </w:t>
      </w:r>
      <w:r w:rsidR="00C734CB" w:rsidRPr="00263931">
        <w:rPr>
          <w:rFonts w:ascii="Times New Roman" w:hAnsi="Times New Roman" w:cs="Times New Roman"/>
          <w:sz w:val="24"/>
          <w:szCs w:val="24"/>
        </w:rPr>
        <w:t>Árabes</w:t>
      </w:r>
      <w:r w:rsidRPr="00263931">
        <w:rPr>
          <w:rFonts w:ascii="Times New Roman" w:hAnsi="Times New Roman" w:cs="Times New Roman"/>
          <w:sz w:val="24"/>
          <w:szCs w:val="24"/>
        </w:rPr>
        <w:t xml:space="preserve"> del </w:t>
      </w:r>
      <w:r w:rsidR="00263931" w:rsidRPr="00263931">
        <w:rPr>
          <w:rFonts w:ascii="Times New Roman" w:hAnsi="Times New Roman" w:cs="Times New Roman"/>
          <w:sz w:val="24"/>
          <w:szCs w:val="24"/>
        </w:rPr>
        <w:t xml:space="preserve">Oriente Medio, respectivamente. Sus nombres son H. J. </w:t>
      </w:r>
      <w:proofErr w:type="spellStart"/>
      <w:r w:rsidR="00263931" w:rsidRPr="00263931">
        <w:rPr>
          <w:rFonts w:ascii="Times New Roman" w:hAnsi="Times New Roman" w:cs="Times New Roman"/>
          <w:sz w:val="24"/>
          <w:szCs w:val="24"/>
        </w:rPr>
        <w:t>Reinink</w:t>
      </w:r>
      <w:proofErr w:type="spellEnd"/>
      <w:r w:rsidR="00263931" w:rsidRPr="00263931">
        <w:rPr>
          <w:rFonts w:ascii="Times New Roman" w:hAnsi="Times New Roman" w:cs="Times New Roman"/>
          <w:sz w:val="24"/>
          <w:szCs w:val="24"/>
        </w:rPr>
        <w:t xml:space="preserve"> (Países Bajos) y Karl Brunner (Suiza). Como lo escribió </w:t>
      </w:r>
      <w:proofErr w:type="spellStart"/>
      <w:r w:rsidR="00263931" w:rsidRPr="00263931">
        <w:rPr>
          <w:rFonts w:ascii="Times New Roman" w:hAnsi="Times New Roman" w:cs="Times New Roman"/>
          <w:sz w:val="24"/>
          <w:szCs w:val="24"/>
        </w:rPr>
        <w:t>Reinink</w:t>
      </w:r>
      <w:proofErr w:type="spellEnd"/>
      <w:r w:rsidR="00263931" w:rsidRPr="00263931">
        <w:rPr>
          <w:rFonts w:ascii="Times New Roman" w:hAnsi="Times New Roman" w:cs="Times New Roman"/>
          <w:sz w:val="24"/>
          <w:szCs w:val="24"/>
        </w:rPr>
        <w:t xml:space="preserve"> el 8 de abril de 1968: “Por primera vez en la historia, unas personalidades independientes han podido dedicarse, en nombre de una organización internaciona</w:t>
      </w:r>
      <w:r w:rsidR="00F016E2">
        <w:rPr>
          <w:rFonts w:ascii="Times New Roman" w:hAnsi="Times New Roman" w:cs="Times New Roman"/>
          <w:sz w:val="24"/>
          <w:szCs w:val="24"/>
        </w:rPr>
        <w:t>l (la Unesco), a efectuar inda</w:t>
      </w:r>
      <w:r w:rsidR="00263931" w:rsidRPr="00263931">
        <w:rPr>
          <w:rFonts w:ascii="Times New Roman" w:hAnsi="Times New Roman" w:cs="Times New Roman"/>
          <w:sz w:val="24"/>
          <w:szCs w:val="24"/>
        </w:rPr>
        <w:t>gaciones en los territorios, ocupad</w:t>
      </w:r>
      <w:r w:rsidR="00F016E2">
        <w:rPr>
          <w:rFonts w:ascii="Times New Roman" w:hAnsi="Times New Roman" w:cs="Times New Roman"/>
          <w:sz w:val="24"/>
          <w:szCs w:val="24"/>
        </w:rPr>
        <w:t>os o no, de los Estados belige</w:t>
      </w:r>
      <w:r w:rsidR="00263931" w:rsidRPr="00263931">
        <w:rPr>
          <w:rFonts w:ascii="Times New Roman" w:hAnsi="Times New Roman" w:cs="Times New Roman"/>
          <w:sz w:val="24"/>
          <w:szCs w:val="24"/>
        </w:rPr>
        <w:t xml:space="preserve">rantes, para descubrir si habían sido destruidos algunos bienes culturales, violando con ello la Convención... El procedimiento instaurado constituirá, sin duda alguna, un valioso precedente y podrá aportar una contribución esencial al desarrollo del derecho internacional.” </w:t>
      </w:r>
    </w:p>
    <w:p w:rsidR="009462E7" w:rsidRPr="00263931" w:rsidRDefault="00263931" w:rsidP="00263931">
      <w:pPr>
        <w:jc w:val="both"/>
        <w:rPr>
          <w:rFonts w:ascii="Times New Roman" w:hAnsi="Times New Roman" w:cs="Times New Roman"/>
          <w:sz w:val="24"/>
          <w:szCs w:val="24"/>
        </w:rPr>
      </w:pPr>
      <w:r w:rsidRPr="00263931">
        <w:rPr>
          <w:rFonts w:ascii="Times New Roman" w:hAnsi="Times New Roman" w:cs="Times New Roman"/>
          <w:sz w:val="24"/>
          <w:szCs w:val="24"/>
        </w:rPr>
        <w:t>Otra innovación importante de la Convención, en materia de derecho internacional, es la cr</w:t>
      </w:r>
      <w:r w:rsidR="00F016E2">
        <w:rPr>
          <w:rFonts w:ascii="Times New Roman" w:hAnsi="Times New Roman" w:cs="Times New Roman"/>
          <w:sz w:val="24"/>
          <w:szCs w:val="24"/>
        </w:rPr>
        <w:t>eación de un “Registro interna</w:t>
      </w:r>
      <w:r w:rsidRPr="00263931">
        <w:rPr>
          <w:rFonts w:ascii="Times New Roman" w:hAnsi="Times New Roman" w:cs="Times New Roman"/>
          <w:sz w:val="24"/>
          <w:szCs w:val="24"/>
        </w:rPr>
        <w:t>cional de bienes culturales bajo protección especial”. En ese registro, llevado por el Director General de la Unesco, pueden inscribirse, a petición de los Estados interesados y salvo oposición de otros Estados contratantes, un número restringido de “refugios destinados a preservar los bienes culturales muebles en caso de conflicto armado”, de “centros monumentales y “otros bienes culturales inmuebles de impor</w:t>
      </w:r>
      <w:r w:rsidR="00F016E2">
        <w:rPr>
          <w:rFonts w:ascii="Times New Roman" w:hAnsi="Times New Roman" w:cs="Times New Roman"/>
          <w:sz w:val="24"/>
          <w:szCs w:val="24"/>
        </w:rPr>
        <w:t>tancia muy grande”. La inscrip</w:t>
      </w:r>
      <w:r w:rsidRPr="00263931">
        <w:rPr>
          <w:rFonts w:ascii="Times New Roman" w:hAnsi="Times New Roman" w:cs="Times New Roman"/>
          <w:sz w:val="24"/>
          <w:szCs w:val="24"/>
        </w:rPr>
        <w:t xml:space="preserve">ción en el Registro fue acordada en 1960 al conjunto del Estado de la Ciudad del Vaticano; en 1967, al refugio establecido por el gobierno austríaco en unas minas de sal abandonadas cerca de </w:t>
      </w:r>
      <w:proofErr w:type="spellStart"/>
      <w:r w:rsidRPr="00263931">
        <w:rPr>
          <w:rFonts w:ascii="Times New Roman" w:hAnsi="Times New Roman" w:cs="Times New Roman"/>
          <w:sz w:val="24"/>
          <w:szCs w:val="24"/>
        </w:rPr>
        <w:t>Alt-Haussee</w:t>
      </w:r>
      <w:proofErr w:type="spellEnd"/>
      <w:r w:rsidRPr="00263931">
        <w:rPr>
          <w:rFonts w:ascii="Times New Roman" w:hAnsi="Times New Roman" w:cs="Times New Roman"/>
          <w:sz w:val="24"/>
          <w:szCs w:val="24"/>
        </w:rPr>
        <w:t xml:space="preserve"> (Alta Austria); y en 1969, a seis refugios instalados por el gobierno de los Países Bajos. Por vez primera, los bienes culturales de importancia reconocida universalmente, benefician de una protección internacional.</w:t>
      </w:r>
    </w:p>
    <w:p w:rsidR="00130B2C" w:rsidRPr="00FA5E9D" w:rsidRDefault="00130B2C" w:rsidP="00130B2C">
      <w:pPr>
        <w:jc w:val="both"/>
        <w:rPr>
          <w:rFonts w:ascii="Times New Roman" w:hAnsi="Times New Roman" w:cs="Times New Roman"/>
          <w:i/>
          <w:sz w:val="24"/>
          <w:szCs w:val="24"/>
        </w:rPr>
      </w:pPr>
      <w:r w:rsidRPr="00FA5E9D">
        <w:rPr>
          <w:rFonts w:ascii="Times New Roman" w:hAnsi="Times New Roman" w:cs="Times New Roman"/>
          <w:i/>
          <w:sz w:val="24"/>
          <w:szCs w:val="24"/>
        </w:rPr>
        <w:t xml:space="preserve">Recomendaciones </w:t>
      </w:r>
    </w:p>
    <w:p w:rsidR="00FA5E9D" w:rsidRDefault="00130B2C" w:rsidP="00FA5E9D">
      <w:pPr>
        <w:jc w:val="both"/>
        <w:rPr>
          <w:rFonts w:ascii="Times New Roman" w:hAnsi="Times New Roman" w:cs="Times New Roman"/>
          <w:sz w:val="24"/>
          <w:szCs w:val="24"/>
        </w:rPr>
      </w:pPr>
      <w:r w:rsidRPr="00130B2C">
        <w:rPr>
          <w:rFonts w:ascii="Times New Roman" w:hAnsi="Times New Roman" w:cs="Times New Roman"/>
          <w:sz w:val="24"/>
          <w:szCs w:val="24"/>
        </w:rPr>
        <w:t>Las recomendaciones adoptadas por la Conferencia General de la Unesco, se inspiran en el principio de que los Estados, en tiempo normal, son responsables</w:t>
      </w:r>
      <w:r w:rsidR="00E011DF">
        <w:rPr>
          <w:rFonts w:ascii="Times New Roman" w:hAnsi="Times New Roman" w:cs="Times New Roman"/>
          <w:sz w:val="24"/>
          <w:szCs w:val="24"/>
        </w:rPr>
        <w:t xml:space="preserve"> frente a la comunidad interna</w:t>
      </w:r>
      <w:r w:rsidRPr="00130B2C">
        <w:rPr>
          <w:rFonts w:ascii="Times New Roman" w:hAnsi="Times New Roman" w:cs="Times New Roman"/>
          <w:sz w:val="24"/>
          <w:szCs w:val="24"/>
        </w:rPr>
        <w:t>cional, de la conservación de los bienes culturales situados en su territorio y están obligados a tomar las medidas apropiadas para proteger esos bienes y hacerlos accesibles a todos, en interés de la ciencia y de la mutua comprensión de los pueblos. La Recomendación que define los principios internacionales aplicables a las excavaciones arqueológicas (1956) está destinada a evitar que sean objeto de comercio los vestigios arqueológicos</w:t>
      </w:r>
      <w:r w:rsidR="00FA5E9D">
        <w:rPr>
          <w:rFonts w:ascii="Times New Roman" w:hAnsi="Times New Roman" w:cs="Times New Roman"/>
          <w:sz w:val="24"/>
          <w:szCs w:val="24"/>
        </w:rPr>
        <w:t xml:space="preserve"> </w:t>
      </w:r>
      <w:r w:rsidR="00FA5E9D" w:rsidRPr="00FA5E9D">
        <w:rPr>
          <w:rFonts w:ascii="Times New Roman" w:hAnsi="Times New Roman" w:cs="Times New Roman"/>
          <w:sz w:val="24"/>
          <w:szCs w:val="24"/>
        </w:rPr>
        <w:t xml:space="preserve">cuyo descubrimiento debe constituir un enriquecimiento para la humanidad toda. </w:t>
      </w:r>
    </w:p>
    <w:p w:rsidR="00FA5E9D" w:rsidRPr="00FA5E9D" w:rsidRDefault="00FA5E9D" w:rsidP="00FA5E9D">
      <w:pPr>
        <w:jc w:val="both"/>
        <w:rPr>
          <w:rFonts w:ascii="Times New Roman" w:hAnsi="Times New Roman" w:cs="Times New Roman"/>
          <w:sz w:val="24"/>
          <w:szCs w:val="24"/>
        </w:rPr>
      </w:pPr>
      <w:r w:rsidRPr="00FA5E9D">
        <w:rPr>
          <w:rFonts w:ascii="Times New Roman" w:hAnsi="Times New Roman" w:cs="Times New Roman"/>
          <w:sz w:val="24"/>
          <w:szCs w:val="24"/>
        </w:rPr>
        <w:t xml:space="preserve">Se invita a </w:t>
      </w:r>
      <w:r>
        <w:rPr>
          <w:rFonts w:ascii="Times New Roman" w:hAnsi="Times New Roman" w:cs="Times New Roman"/>
          <w:sz w:val="24"/>
          <w:szCs w:val="24"/>
        </w:rPr>
        <w:t>los Estados Miembros principal</w:t>
      </w:r>
      <w:r w:rsidRPr="00FA5E9D">
        <w:rPr>
          <w:rFonts w:ascii="Times New Roman" w:hAnsi="Times New Roman" w:cs="Times New Roman"/>
          <w:sz w:val="24"/>
          <w:szCs w:val="24"/>
        </w:rPr>
        <w:t>mente: a someter a la autoridad p</w:t>
      </w:r>
      <w:r w:rsidR="003434D5">
        <w:rPr>
          <w:rFonts w:ascii="Times New Roman" w:hAnsi="Times New Roman" w:cs="Times New Roman"/>
          <w:sz w:val="24"/>
          <w:szCs w:val="24"/>
        </w:rPr>
        <w:t>revia y al control las explora</w:t>
      </w:r>
      <w:r w:rsidRPr="00FA5E9D">
        <w:rPr>
          <w:rFonts w:ascii="Times New Roman" w:hAnsi="Times New Roman" w:cs="Times New Roman"/>
          <w:sz w:val="24"/>
          <w:szCs w:val="24"/>
        </w:rPr>
        <w:t xml:space="preserve">ciones y excavaciones arqueológicas; a exigir que se declaren todos los objetos descubiertos, so pena de confiscación y de sanciones; a constituir colecciones y crear ocasionalmente museos con el fin de presentar los descubrimientos arqueológicos al público. La Recomendación relativa a la protección del carácter y de la belleza del paisaje de los lugares de interés artístico e histórico (1962) extiende la noción de </w:t>
      </w:r>
      <w:r w:rsidRPr="00FA5E9D">
        <w:rPr>
          <w:rFonts w:ascii="Times New Roman" w:hAnsi="Times New Roman" w:cs="Times New Roman"/>
          <w:sz w:val="24"/>
          <w:szCs w:val="24"/>
        </w:rPr>
        <w:lastRenderedPageBreak/>
        <w:t>“patrimonio cultural y estético” a la naturaleza y a la vida silvestre. Invita a los Estados Miembros a constituir reservas y parques natur</w:t>
      </w:r>
      <w:r w:rsidR="003434D5">
        <w:rPr>
          <w:rFonts w:ascii="Times New Roman" w:hAnsi="Times New Roman" w:cs="Times New Roman"/>
          <w:sz w:val="24"/>
          <w:szCs w:val="24"/>
        </w:rPr>
        <w:t>ales, a clasificar los más her</w:t>
      </w:r>
      <w:r w:rsidRPr="00FA5E9D">
        <w:rPr>
          <w:rFonts w:ascii="Times New Roman" w:hAnsi="Times New Roman" w:cs="Times New Roman"/>
          <w:sz w:val="24"/>
          <w:szCs w:val="24"/>
        </w:rPr>
        <w:t>mosos lugares y paisajes y supervisar la ejecución de los planos de ordenación y urbanismo con el fi</w:t>
      </w:r>
      <w:r w:rsidR="003434D5">
        <w:rPr>
          <w:rFonts w:ascii="Times New Roman" w:hAnsi="Times New Roman" w:cs="Times New Roman"/>
          <w:sz w:val="24"/>
          <w:szCs w:val="24"/>
        </w:rPr>
        <w:t>n de evitar en las zonas prote</w:t>
      </w:r>
      <w:r w:rsidRPr="00FA5E9D">
        <w:rPr>
          <w:rFonts w:ascii="Times New Roman" w:hAnsi="Times New Roman" w:cs="Times New Roman"/>
          <w:sz w:val="24"/>
          <w:szCs w:val="24"/>
        </w:rPr>
        <w:t>gidas la construcción de conjuntos antiestéticos e instalaciones industriales y la ejecución de grandes trabajos de carreteras, electrificación o regadío. Entre l</w:t>
      </w:r>
      <w:r w:rsidR="00387168">
        <w:rPr>
          <w:rFonts w:ascii="Times New Roman" w:hAnsi="Times New Roman" w:cs="Times New Roman"/>
          <w:sz w:val="24"/>
          <w:szCs w:val="24"/>
        </w:rPr>
        <w:t>os más graves peligros que ame</w:t>
      </w:r>
      <w:r w:rsidRPr="00FA5E9D">
        <w:rPr>
          <w:rFonts w:ascii="Times New Roman" w:hAnsi="Times New Roman" w:cs="Times New Roman"/>
          <w:sz w:val="24"/>
          <w:szCs w:val="24"/>
        </w:rPr>
        <w:t xml:space="preserve">nazan el medio ambiente natural, la Recomendación cita la despoblación forestal, la contaminación del aire y del agua, el depósito de detritus y desperdicios industriales o domésticos, las destrucciones provocadas por los paseantes y la gente que acampa al aire libre. </w:t>
      </w:r>
    </w:p>
    <w:p w:rsidR="00E011DF" w:rsidRDefault="00FA5E9D" w:rsidP="00FA5E9D">
      <w:pPr>
        <w:jc w:val="both"/>
        <w:rPr>
          <w:rFonts w:ascii="Times New Roman" w:hAnsi="Times New Roman" w:cs="Times New Roman"/>
          <w:sz w:val="24"/>
          <w:szCs w:val="24"/>
        </w:rPr>
      </w:pPr>
      <w:r w:rsidRPr="00FA5E9D">
        <w:rPr>
          <w:rFonts w:ascii="Times New Roman" w:hAnsi="Times New Roman" w:cs="Times New Roman"/>
          <w:sz w:val="24"/>
          <w:szCs w:val="24"/>
        </w:rPr>
        <w:t>La Recomendación relativa a las medidas encaminadas a prohibir e impedir la exportación, importación y transferencia ilícitas, de los bienes culturales (1964) recuerda a los Estados Miembros la obligación que tienen de proteger los bienes que constituyen su patrimonio cultural. Ampliando el alcance de la Recomendación relativa a las excavaciones arqueológicas, se propone impedir la especulació</w:t>
      </w:r>
      <w:r w:rsidR="00387168">
        <w:rPr>
          <w:rFonts w:ascii="Times New Roman" w:hAnsi="Times New Roman" w:cs="Times New Roman"/>
          <w:sz w:val="24"/>
          <w:szCs w:val="24"/>
        </w:rPr>
        <w:t>n, a escala nacional e interna</w:t>
      </w:r>
      <w:r w:rsidRPr="00FA5E9D">
        <w:rPr>
          <w:rFonts w:ascii="Times New Roman" w:hAnsi="Times New Roman" w:cs="Times New Roman"/>
          <w:sz w:val="24"/>
          <w:szCs w:val="24"/>
        </w:rPr>
        <w:t xml:space="preserve">cional, de los bienes culturales importantes, muebles o inmuebles, públicos o privados, de todas categorías: obras de arte y de arquitectura, manuscritos, libros y otros objetos de interés artístico, histórico o arqueológico, documentos de etnología, especímenes de la flora y la fauna, </w:t>
      </w:r>
      <w:r w:rsidR="00387168">
        <w:rPr>
          <w:rFonts w:ascii="Times New Roman" w:hAnsi="Times New Roman" w:cs="Times New Roman"/>
          <w:sz w:val="24"/>
          <w:szCs w:val="24"/>
        </w:rPr>
        <w:t>colecciones científicas, colec</w:t>
      </w:r>
      <w:r w:rsidRPr="00FA5E9D">
        <w:rPr>
          <w:rFonts w:ascii="Times New Roman" w:hAnsi="Times New Roman" w:cs="Times New Roman"/>
          <w:sz w:val="24"/>
          <w:szCs w:val="24"/>
        </w:rPr>
        <w:t>ciones importantes de libros y archivos, con inclusión de los archivos musicales. Se insta a los Estados Miembros a que dicten las medidas apropiadas y ejerzan una supervisión eficaz con el fin de desalentar a los especuladores. Esta cuestión reviste una importancia internacional de primer orden por motivo del</w:t>
      </w:r>
      <w:r w:rsidR="00AE647A">
        <w:rPr>
          <w:rFonts w:ascii="Times New Roman" w:hAnsi="Times New Roman" w:cs="Times New Roman"/>
          <w:sz w:val="24"/>
          <w:szCs w:val="24"/>
        </w:rPr>
        <w:t xml:space="preserve"> </w:t>
      </w:r>
      <w:r w:rsidR="00AE647A" w:rsidRPr="00AE647A">
        <w:rPr>
          <w:rFonts w:ascii="Times New Roman" w:hAnsi="Times New Roman" w:cs="Times New Roman"/>
          <w:sz w:val="24"/>
          <w:szCs w:val="24"/>
        </w:rPr>
        <w:t>saqueo al que están expuestos lo</w:t>
      </w:r>
      <w:r w:rsidR="00AE647A">
        <w:rPr>
          <w:rFonts w:ascii="Times New Roman" w:hAnsi="Times New Roman" w:cs="Times New Roman"/>
          <w:sz w:val="24"/>
          <w:szCs w:val="24"/>
        </w:rPr>
        <w:t>s bienes culturales insuficien</w:t>
      </w:r>
      <w:r w:rsidR="00AE647A" w:rsidRPr="00AE647A">
        <w:rPr>
          <w:rFonts w:ascii="Times New Roman" w:hAnsi="Times New Roman" w:cs="Times New Roman"/>
          <w:sz w:val="24"/>
          <w:szCs w:val="24"/>
        </w:rPr>
        <w:t>temente protegidos por las leyes</w:t>
      </w:r>
      <w:r w:rsidR="00AE647A">
        <w:rPr>
          <w:rFonts w:ascii="Times New Roman" w:hAnsi="Times New Roman" w:cs="Times New Roman"/>
          <w:sz w:val="24"/>
          <w:szCs w:val="24"/>
        </w:rPr>
        <w:t>. Se ha juzgado útil, en conse</w:t>
      </w:r>
      <w:r w:rsidR="00AE647A" w:rsidRPr="00AE647A">
        <w:rPr>
          <w:rFonts w:ascii="Times New Roman" w:hAnsi="Times New Roman" w:cs="Times New Roman"/>
          <w:sz w:val="24"/>
          <w:szCs w:val="24"/>
        </w:rPr>
        <w:t>cuencia, hacer de este punto el objeto de un convenio inter- nacional, actualmente en estudio. La Recomendación relativa a la conservación de los bienes culturales que la ejecución de obras públicas o privadas pueda poner en peligro (1968) complementa y hace más precisa la Recomendación referente a la protección del paisaje y de los lugares de interés histórico y artístico. El progreso técnico</w:t>
      </w:r>
      <w:r w:rsidR="00AE647A">
        <w:rPr>
          <w:rFonts w:ascii="Times New Roman" w:hAnsi="Times New Roman" w:cs="Times New Roman"/>
          <w:sz w:val="24"/>
          <w:szCs w:val="24"/>
        </w:rPr>
        <w:t xml:space="preserve"> </w:t>
      </w:r>
      <w:r w:rsidR="00AE647A" w:rsidRPr="00AE647A">
        <w:rPr>
          <w:rFonts w:ascii="Times New Roman" w:hAnsi="Times New Roman" w:cs="Times New Roman"/>
          <w:sz w:val="24"/>
          <w:szCs w:val="24"/>
        </w:rPr>
        <w:t>- la urbanización, la industrialización, los programas de servicios públicos</w:t>
      </w:r>
      <w:r w:rsidR="00AE647A">
        <w:rPr>
          <w:rFonts w:ascii="Times New Roman" w:hAnsi="Times New Roman" w:cs="Times New Roman"/>
          <w:sz w:val="24"/>
          <w:szCs w:val="24"/>
        </w:rPr>
        <w:t xml:space="preserve"> </w:t>
      </w:r>
      <w:r w:rsidR="00AE647A" w:rsidRPr="00AE647A">
        <w:rPr>
          <w:rFonts w:ascii="Times New Roman" w:hAnsi="Times New Roman" w:cs="Times New Roman"/>
          <w:sz w:val="24"/>
          <w:szCs w:val="24"/>
        </w:rPr>
        <w:t>-</w:t>
      </w:r>
      <w:r w:rsidR="00AE647A">
        <w:rPr>
          <w:rFonts w:ascii="Times New Roman" w:hAnsi="Times New Roman" w:cs="Times New Roman"/>
          <w:sz w:val="24"/>
          <w:szCs w:val="24"/>
        </w:rPr>
        <w:t xml:space="preserve"> </w:t>
      </w:r>
      <w:r w:rsidR="00AE647A" w:rsidRPr="00AE647A">
        <w:rPr>
          <w:rFonts w:ascii="Times New Roman" w:hAnsi="Times New Roman" w:cs="Times New Roman"/>
          <w:sz w:val="24"/>
          <w:szCs w:val="24"/>
        </w:rPr>
        <w:t>no amenaza únicamente con trastornar el medio ambiente natural sino que ade</w:t>
      </w:r>
      <w:r w:rsidR="00AE647A">
        <w:rPr>
          <w:rFonts w:ascii="Times New Roman" w:hAnsi="Times New Roman" w:cs="Times New Roman"/>
          <w:sz w:val="24"/>
          <w:szCs w:val="24"/>
        </w:rPr>
        <w:t>más entraña un riesgo de degra</w:t>
      </w:r>
      <w:r w:rsidR="00AE647A" w:rsidRPr="00AE647A">
        <w:rPr>
          <w:rFonts w:ascii="Times New Roman" w:hAnsi="Times New Roman" w:cs="Times New Roman"/>
          <w:sz w:val="24"/>
          <w:szCs w:val="24"/>
        </w:rPr>
        <w:t>dación o destrucción de los lugares de interés artístico o histórico, tradicionales, de los barrios históricos, de las construcciones que presentan un gran interés artís</w:t>
      </w:r>
      <w:r w:rsidR="00AE647A">
        <w:rPr>
          <w:rFonts w:ascii="Times New Roman" w:hAnsi="Times New Roman" w:cs="Times New Roman"/>
          <w:sz w:val="24"/>
          <w:szCs w:val="24"/>
        </w:rPr>
        <w:t>tico o arquitectónico. La Reco</w:t>
      </w:r>
      <w:r w:rsidR="00AE647A" w:rsidRPr="00AE647A">
        <w:rPr>
          <w:rFonts w:ascii="Times New Roman" w:hAnsi="Times New Roman" w:cs="Times New Roman"/>
          <w:sz w:val="24"/>
          <w:szCs w:val="24"/>
        </w:rPr>
        <w:t>mendación invita a los Estados Miembros a adoptar medidas preventivas y correctivas para la protección de los monumentos así como de su marco ambiental. En particular les invita a someter a una reglamentación y supervisión adecuadas los proyectos de expansión y renovación urbanas, la construcción de carreteras, pantanos, oleoductos, líneas eléctricas y aeródromos, y los trabajos de instalación industrial. De esta manera, bajo la égida de la Unesco, se prep</w:t>
      </w:r>
      <w:r w:rsidR="00AE647A">
        <w:rPr>
          <w:rFonts w:ascii="Times New Roman" w:hAnsi="Times New Roman" w:cs="Times New Roman"/>
          <w:sz w:val="24"/>
          <w:szCs w:val="24"/>
        </w:rPr>
        <w:t>ara pro</w:t>
      </w:r>
      <w:r w:rsidR="00AE647A" w:rsidRPr="00AE647A">
        <w:rPr>
          <w:rFonts w:ascii="Times New Roman" w:hAnsi="Times New Roman" w:cs="Times New Roman"/>
          <w:sz w:val="24"/>
          <w:szCs w:val="24"/>
        </w:rPr>
        <w:t>gresivamente un conjunto de principios y normas jurídicas que, al aplicarse efectivamente por los Estados, permitirán proteger el patrimonio cultural contra la acción del hombre.</w:t>
      </w:r>
    </w:p>
    <w:p w:rsidR="00EF58A7" w:rsidRDefault="00EF58A7" w:rsidP="00FA5E9D">
      <w:pPr>
        <w:jc w:val="both"/>
        <w:rPr>
          <w:rFonts w:ascii="Times New Roman" w:hAnsi="Times New Roman" w:cs="Times New Roman"/>
          <w:sz w:val="24"/>
          <w:szCs w:val="24"/>
        </w:rPr>
      </w:pPr>
    </w:p>
    <w:p w:rsidR="00210D0E" w:rsidRDefault="00210D0E" w:rsidP="00210D0E">
      <w:pPr>
        <w:jc w:val="center"/>
        <w:rPr>
          <w:rFonts w:ascii="Times New Roman" w:hAnsi="Times New Roman" w:cs="Times New Roman"/>
          <w:i/>
        </w:rPr>
      </w:pPr>
      <w:r w:rsidRPr="00210D0E">
        <w:rPr>
          <w:rFonts w:ascii="Times New Roman" w:hAnsi="Times New Roman" w:cs="Times New Roman"/>
          <w:i/>
        </w:rPr>
        <w:t xml:space="preserve">Publicado en 1969 por la Organización de las </w:t>
      </w:r>
    </w:p>
    <w:p w:rsidR="00B611C1" w:rsidRPr="00210D0E" w:rsidRDefault="00210D0E" w:rsidP="00210D0E">
      <w:pPr>
        <w:jc w:val="center"/>
        <w:rPr>
          <w:rFonts w:ascii="Times New Roman" w:hAnsi="Times New Roman" w:cs="Times New Roman"/>
          <w:i/>
        </w:rPr>
      </w:pPr>
      <w:bookmarkStart w:id="0" w:name="_GoBack"/>
      <w:bookmarkEnd w:id="0"/>
      <w:r w:rsidRPr="00210D0E">
        <w:rPr>
          <w:rFonts w:ascii="Times New Roman" w:hAnsi="Times New Roman" w:cs="Times New Roman"/>
          <w:i/>
        </w:rPr>
        <w:t>Naciones Unidas para la Educación, la Ciencia y la Cultura</w:t>
      </w:r>
      <w:r>
        <w:rPr>
          <w:rFonts w:ascii="Times New Roman" w:hAnsi="Times New Roman" w:cs="Times New Roman"/>
          <w:i/>
        </w:rPr>
        <w:t xml:space="preserve"> - Francia</w:t>
      </w:r>
      <w:r w:rsidRPr="00210D0E">
        <w:rPr>
          <w:rFonts w:ascii="Times New Roman" w:hAnsi="Times New Roman" w:cs="Times New Roman"/>
          <w:i/>
        </w:rPr>
        <w:t xml:space="preserve"> </w:t>
      </w:r>
    </w:p>
    <w:sectPr w:rsidR="00B611C1" w:rsidRPr="00210D0E">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54FC" w:rsidRDefault="002054FC" w:rsidP="009462E7">
      <w:pPr>
        <w:spacing w:after="0" w:line="240" w:lineRule="auto"/>
      </w:pPr>
      <w:r>
        <w:separator/>
      </w:r>
    </w:p>
  </w:endnote>
  <w:endnote w:type="continuationSeparator" w:id="0">
    <w:p w:rsidR="002054FC" w:rsidRDefault="002054FC" w:rsidP="009462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54FC" w:rsidRDefault="002054FC" w:rsidP="009462E7">
      <w:pPr>
        <w:spacing w:after="0" w:line="240" w:lineRule="auto"/>
      </w:pPr>
      <w:r>
        <w:separator/>
      </w:r>
    </w:p>
  </w:footnote>
  <w:footnote w:type="continuationSeparator" w:id="0">
    <w:p w:rsidR="002054FC" w:rsidRDefault="002054FC" w:rsidP="009462E7">
      <w:pPr>
        <w:spacing w:after="0" w:line="240" w:lineRule="auto"/>
      </w:pPr>
      <w:r>
        <w:continuationSeparator/>
      </w:r>
    </w:p>
  </w:footnote>
  <w:footnote w:id="1">
    <w:p w:rsidR="00387168" w:rsidRDefault="00387168" w:rsidP="00387168">
      <w:pPr>
        <w:pStyle w:val="Textonotapie"/>
        <w:jc w:val="both"/>
      </w:pPr>
      <w:r>
        <w:rPr>
          <w:rStyle w:val="Refdenotaalpie"/>
        </w:rPr>
        <w:footnoteRef/>
      </w:r>
      <w:r>
        <w:t xml:space="preserve"> </w:t>
      </w:r>
      <w:r w:rsidRPr="00387168">
        <w:t xml:space="preserve">Albania, República Federal de Alemania, Austria, Bélgica, RSS de Bielorrusia, Birmania, Brasil, Bulgaria, Camboya, Camerún, República Democrática del Congo, Cuba, Checoslovaquia, Chipre, República </w:t>
      </w:r>
      <w:proofErr w:type="spellStart"/>
      <w:r w:rsidRPr="00387168">
        <w:t>Domi</w:t>
      </w:r>
      <w:proofErr w:type="spellEnd"/>
      <w:r w:rsidRPr="00387168">
        <w:t xml:space="preserve">- </w:t>
      </w:r>
      <w:proofErr w:type="spellStart"/>
      <w:r w:rsidRPr="00387168">
        <w:t>nicana</w:t>
      </w:r>
      <w:proofErr w:type="spellEnd"/>
      <w:r w:rsidRPr="00387168">
        <w:t>, Ecuador, España, Francia, Gabón, Ghana, Guinea, Hungría, India Indonesia, Irak, Irán, Israel, Italia, Jordania, Kuwait, Líbano, Libia, Liechtenstein, Luxemburgo, Madagascar, Malasia, Mali, Marruecos, México, Mónaco, Mongolia, Nicaragua, Nigeria, Noruega, Paquistán, Panamá, Países Bajos, Polonia, República Árabe Unida, Rumania, San Marino, Santa Sede, Siria, Suiza, Tailandia, Turquía, RSS de Ucrania, URSS y Yugoslavia.</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4BA"/>
    <w:rsid w:val="00130B2C"/>
    <w:rsid w:val="002054FC"/>
    <w:rsid w:val="00210D0E"/>
    <w:rsid w:val="00263931"/>
    <w:rsid w:val="003434D5"/>
    <w:rsid w:val="00387168"/>
    <w:rsid w:val="004E67CD"/>
    <w:rsid w:val="006C03BF"/>
    <w:rsid w:val="00702204"/>
    <w:rsid w:val="007074BA"/>
    <w:rsid w:val="00783640"/>
    <w:rsid w:val="009462E7"/>
    <w:rsid w:val="00AE647A"/>
    <w:rsid w:val="00B611C1"/>
    <w:rsid w:val="00C734CB"/>
    <w:rsid w:val="00CF0FFD"/>
    <w:rsid w:val="00D00DD0"/>
    <w:rsid w:val="00D74A4F"/>
    <w:rsid w:val="00E011DF"/>
    <w:rsid w:val="00E23FF4"/>
    <w:rsid w:val="00EF58A7"/>
    <w:rsid w:val="00F016E2"/>
    <w:rsid w:val="00F115E0"/>
    <w:rsid w:val="00FA5E9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BF7B05-B298-41B2-8357-4CF39A776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alfinal">
    <w:name w:val="endnote text"/>
    <w:basedOn w:val="Normal"/>
    <w:link w:val="TextonotaalfinalCar"/>
    <w:uiPriority w:val="99"/>
    <w:semiHidden/>
    <w:unhideWhenUsed/>
    <w:rsid w:val="009462E7"/>
    <w:pPr>
      <w:spacing w:after="0" w:line="240" w:lineRule="auto"/>
    </w:pPr>
    <w:rPr>
      <w:sz w:val="20"/>
      <w:szCs w:val="20"/>
    </w:rPr>
  </w:style>
  <w:style w:type="character" w:customStyle="1" w:styleId="TextonotaalfinalCar">
    <w:name w:val="Texto nota al final Car"/>
    <w:basedOn w:val="Fuentedeprrafopredeter"/>
    <w:link w:val="Textonotaalfinal"/>
    <w:uiPriority w:val="99"/>
    <w:semiHidden/>
    <w:rsid w:val="009462E7"/>
    <w:rPr>
      <w:sz w:val="20"/>
      <w:szCs w:val="20"/>
    </w:rPr>
  </w:style>
  <w:style w:type="character" w:styleId="Refdenotaalfinal">
    <w:name w:val="endnote reference"/>
    <w:basedOn w:val="Fuentedeprrafopredeter"/>
    <w:uiPriority w:val="99"/>
    <w:semiHidden/>
    <w:unhideWhenUsed/>
    <w:rsid w:val="009462E7"/>
    <w:rPr>
      <w:vertAlign w:val="superscript"/>
    </w:rPr>
  </w:style>
  <w:style w:type="paragraph" w:styleId="Textonotapie">
    <w:name w:val="footnote text"/>
    <w:basedOn w:val="Normal"/>
    <w:link w:val="TextonotapieCar"/>
    <w:uiPriority w:val="99"/>
    <w:semiHidden/>
    <w:unhideWhenUsed/>
    <w:rsid w:val="0038716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387168"/>
    <w:rPr>
      <w:sz w:val="20"/>
      <w:szCs w:val="20"/>
    </w:rPr>
  </w:style>
  <w:style w:type="character" w:styleId="Refdenotaalpie">
    <w:name w:val="footnote reference"/>
    <w:basedOn w:val="Fuentedeprrafopredeter"/>
    <w:uiPriority w:val="99"/>
    <w:semiHidden/>
    <w:unhideWhenUsed/>
    <w:rsid w:val="0038716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981F1B-ACBC-42A6-B07D-CCA8032969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Pages>
  <Words>1514</Words>
  <Characters>8328</Characters>
  <Application>Microsoft Office Word</Application>
  <DocSecurity>0</DocSecurity>
  <Lines>69</Lines>
  <Paragraphs>19</Paragraphs>
  <ScaleCrop>false</ScaleCrop>
  <Company/>
  <LinksUpToDate>false</LinksUpToDate>
  <CharactersWithSpaces>9823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Teresita Gutiérrez</dc:creator>
  <cp:keywords/>
  <dc:description/>
  <cp:lastModifiedBy>Teresita Gutiérrez</cp:lastModifiedBy>
  <cp:revision>23</cp:revision>
  <dcterms:created xsi:type="dcterms:W3CDTF">2020-04-22T22:09:00Z</dcterms:created>
  <dcterms:modified xsi:type="dcterms:W3CDTF">2020-04-22T22:38:00Z</dcterms:modified>
</cp:coreProperties>
</file>